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21" w:rsidRPr="00233693" w:rsidRDefault="00AB5321" w:rsidP="00AB5321">
      <w:pPr>
        <w:suppressAutoHyphens w:val="0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AB5321" w:rsidRPr="00202CE5" w:rsidRDefault="00AB5321" w:rsidP="00D852DE">
      <w:pPr>
        <w:suppressAutoHyphens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02CE5">
        <w:rPr>
          <w:rFonts w:eastAsiaTheme="minorHAnsi"/>
          <w:b/>
          <w:sz w:val="28"/>
          <w:szCs w:val="28"/>
          <w:lang w:eastAsia="en-US"/>
        </w:rPr>
        <w:t xml:space="preserve">Использование метода ментальных карт  </w:t>
      </w:r>
      <w:r>
        <w:rPr>
          <w:rFonts w:eastAsiaTheme="minorHAnsi"/>
          <w:b/>
          <w:sz w:val="28"/>
          <w:szCs w:val="28"/>
          <w:lang w:eastAsia="en-US"/>
        </w:rPr>
        <w:t xml:space="preserve"> в образовательной области «Технология»</w:t>
      </w:r>
    </w:p>
    <w:p w:rsidR="00AB5321" w:rsidRPr="00202CE5" w:rsidRDefault="00AB5321" w:rsidP="00AB5321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2CE5">
        <w:rPr>
          <w:rFonts w:eastAsiaTheme="minorHAnsi"/>
          <w:b/>
          <w:bCs/>
          <w:sz w:val="28"/>
          <w:szCs w:val="28"/>
          <w:lang w:eastAsia="en-US"/>
        </w:rPr>
        <w:t> </w:t>
      </w:r>
    </w:p>
    <w:p w:rsidR="00AB5321" w:rsidRPr="00202CE5" w:rsidRDefault="00AB5321" w:rsidP="00AB5321">
      <w:pPr>
        <w:suppressAutoHyphens w:val="0"/>
        <w:ind w:firstLine="284"/>
        <w:jc w:val="right"/>
        <w:rPr>
          <w:rFonts w:eastAsiaTheme="minorHAnsi"/>
          <w:i/>
          <w:iCs/>
          <w:sz w:val="28"/>
          <w:szCs w:val="28"/>
          <w:lang w:eastAsia="en-US"/>
        </w:rPr>
      </w:pPr>
      <w:proofErr w:type="spellStart"/>
      <w:r w:rsidRPr="00202CE5">
        <w:rPr>
          <w:rFonts w:eastAsiaTheme="minorHAnsi"/>
          <w:i/>
          <w:iCs/>
          <w:sz w:val="28"/>
          <w:szCs w:val="28"/>
          <w:lang w:eastAsia="en-US"/>
        </w:rPr>
        <w:t>Л.А.Феизова</w:t>
      </w:r>
      <w:proofErr w:type="spellEnd"/>
      <w:r w:rsidRPr="00202CE5">
        <w:rPr>
          <w:rFonts w:eastAsiaTheme="minorHAnsi"/>
          <w:i/>
          <w:iCs/>
          <w:sz w:val="28"/>
          <w:szCs w:val="28"/>
          <w:lang w:eastAsia="en-US"/>
        </w:rPr>
        <w:t>,</w:t>
      </w:r>
      <w:r w:rsidR="00EE1D25">
        <w:rPr>
          <w:rFonts w:eastAsiaTheme="minorHAnsi"/>
          <w:i/>
          <w:iCs/>
          <w:sz w:val="28"/>
          <w:szCs w:val="28"/>
          <w:lang w:eastAsia="en-US"/>
        </w:rPr>
        <w:t xml:space="preserve"> учитель технологии</w:t>
      </w:r>
    </w:p>
    <w:p w:rsidR="00EE1D25" w:rsidRDefault="00AB5321" w:rsidP="00AB5321">
      <w:pPr>
        <w:suppressAutoHyphens w:val="0"/>
        <w:ind w:firstLine="284"/>
        <w:jc w:val="right"/>
        <w:rPr>
          <w:rFonts w:eastAsiaTheme="minorHAnsi"/>
          <w:i/>
          <w:iCs/>
          <w:sz w:val="28"/>
          <w:szCs w:val="28"/>
          <w:lang w:eastAsia="en-US"/>
        </w:rPr>
      </w:pPr>
      <w:r w:rsidRPr="00202CE5">
        <w:rPr>
          <w:rFonts w:eastAsiaTheme="minorHAnsi"/>
          <w:i/>
          <w:iCs/>
          <w:sz w:val="28"/>
          <w:szCs w:val="28"/>
          <w:lang w:eastAsia="en-US"/>
        </w:rPr>
        <w:t xml:space="preserve">МБОУ «Средняя общеобразовательная школа № 45»  </w:t>
      </w:r>
    </w:p>
    <w:p w:rsidR="00AB5321" w:rsidRPr="00202CE5" w:rsidRDefault="00AB5321" w:rsidP="00AB5321">
      <w:pPr>
        <w:suppressAutoHyphens w:val="0"/>
        <w:ind w:firstLine="284"/>
        <w:jc w:val="right"/>
        <w:rPr>
          <w:rFonts w:eastAsiaTheme="minorHAnsi"/>
          <w:i/>
          <w:iCs/>
          <w:sz w:val="28"/>
          <w:szCs w:val="28"/>
          <w:lang w:eastAsia="en-US"/>
        </w:rPr>
      </w:pPr>
      <w:r w:rsidRPr="00202CE5">
        <w:rPr>
          <w:rFonts w:eastAsiaTheme="minorHAnsi"/>
          <w:i/>
          <w:iCs/>
          <w:sz w:val="28"/>
          <w:szCs w:val="28"/>
          <w:lang w:eastAsia="en-US"/>
        </w:rPr>
        <w:t xml:space="preserve">  г. Чебоксары</w:t>
      </w:r>
    </w:p>
    <w:p w:rsidR="00AB5321" w:rsidRPr="00202CE5" w:rsidRDefault="00AB5321" w:rsidP="00AB5321">
      <w:pPr>
        <w:suppressAutoHyphens w:val="0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AB5321" w:rsidRPr="00EE1D25" w:rsidRDefault="00AB5321" w:rsidP="00AB5321">
      <w:pPr>
        <w:suppressAutoHyphens w:val="0"/>
        <w:ind w:firstLine="284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02CE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Аннотация: </w:t>
      </w:r>
      <w:r w:rsidRPr="00EE1D25">
        <w:rPr>
          <w:rFonts w:eastAsiaTheme="minorHAnsi"/>
          <w:bCs/>
          <w:iCs/>
          <w:sz w:val="28"/>
          <w:szCs w:val="28"/>
          <w:lang w:eastAsia="en-US"/>
        </w:rPr>
        <w:t>рассмотрены основные принципы применения одного из методов активного обучения, особенности применения метода ментальных карт на уроках технологии, сформулированы требования к оформлению карт. Показана эффективность применения метода на различных этапах урока. Предложены примеры использования данного метода на уроках технологии.</w:t>
      </w:r>
    </w:p>
    <w:p w:rsidR="00AB5321" w:rsidRPr="00EE1D25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02CE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Ключевые слова: </w:t>
      </w:r>
      <w:r w:rsidRPr="00EE1D25">
        <w:rPr>
          <w:rFonts w:eastAsiaTheme="minorHAnsi"/>
          <w:bCs/>
          <w:iCs/>
          <w:sz w:val="28"/>
          <w:szCs w:val="28"/>
          <w:lang w:eastAsia="en-US"/>
        </w:rPr>
        <w:t xml:space="preserve">предмет «Технология», активные методы обучения, метод ментальных карт, </w:t>
      </w:r>
      <w:proofErr w:type="spellStart"/>
      <w:r w:rsidRPr="00EE1D25">
        <w:rPr>
          <w:rFonts w:eastAsiaTheme="minorHAnsi"/>
          <w:bCs/>
          <w:iCs/>
          <w:sz w:val="28"/>
          <w:szCs w:val="28"/>
          <w:lang w:eastAsia="en-US"/>
        </w:rPr>
        <w:t>радиантное</w:t>
      </w:r>
      <w:proofErr w:type="spellEnd"/>
      <w:r w:rsidRPr="00EE1D25">
        <w:rPr>
          <w:rFonts w:eastAsiaTheme="minorHAnsi"/>
          <w:bCs/>
          <w:iCs/>
          <w:sz w:val="28"/>
          <w:szCs w:val="28"/>
          <w:lang w:eastAsia="en-US"/>
        </w:rPr>
        <w:t xml:space="preserve"> мышление. </w:t>
      </w:r>
      <w:r w:rsidRPr="00EE1D25">
        <w:rPr>
          <w:rFonts w:eastAsiaTheme="minorHAnsi"/>
          <w:sz w:val="28"/>
          <w:szCs w:val="28"/>
          <w:lang w:val="en-US" w:eastAsia="en-US"/>
        </w:rPr>
        <w:t> </w:t>
      </w:r>
    </w:p>
    <w:p w:rsidR="00AB5321" w:rsidRPr="00202CE5" w:rsidRDefault="00AB5321" w:rsidP="00AB5321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2CE5">
        <w:rPr>
          <w:rFonts w:eastAsiaTheme="minorHAnsi"/>
          <w:sz w:val="28"/>
          <w:szCs w:val="28"/>
          <w:lang w:eastAsia="en-US"/>
        </w:rPr>
        <w:t> </w:t>
      </w:r>
    </w:p>
    <w:p w:rsidR="00AB5321" w:rsidRPr="00202CE5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02CE5">
        <w:rPr>
          <w:rFonts w:eastAsiaTheme="minorHAnsi"/>
          <w:sz w:val="28"/>
          <w:szCs w:val="28"/>
          <w:lang w:eastAsia="en-US"/>
        </w:rPr>
        <w:t xml:space="preserve"> «Кто владеет информацией и технологией, тот владеет миром», — можно сказать об успешном человеке современного общества, перефразируя знаменитое выражение Н. Ротшильда. Обучающийся, который в совершенстве владеет различными способами осваивания нового, изучения и познания принципов</w:t>
      </w:r>
      <w:r>
        <w:rPr>
          <w:rFonts w:eastAsiaTheme="minorHAnsi"/>
          <w:sz w:val="28"/>
          <w:szCs w:val="28"/>
          <w:lang w:eastAsia="en-US"/>
        </w:rPr>
        <w:t xml:space="preserve"> и закономерностей окружающего мира</w:t>
      </w:r>
      <w:r w:rsidRPr="00202CE5">
        <w:rPr>
          <w:rFonts w:eastAsiaTheme="minorHAnsi"/>
          <w:sz w:val="28"/>
          <w:szCs w:val="28"/>
          <w:lang w:eastAsia="en-US"/>
        </w:rPr>
        <w:t>, умеющий использовать навыки системного и технологического мышления, тот и «владеет» миром. Одна из важных задач, стоящих перед педагогами – дать возможность освоения новых технологий, научить исследовать, делать правильные выводы, работать в команде и составлять план действий, определять смысл своей деятельности.</w:t>
      </w:r>
    </w:p>
    <w:p w:rsidR="00AB5321" w:rsidRPr="00202CE5" w:rsidRDefault="00AB5321" w:rsidP="00AB5321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2CE5">
        <w:rPr>
          <w:rFonts w:eastAsiaTheme="minorHAnsi"/>
          <w:sz w:val="28"/>
          <w:szCs w:val="28"/>
          <w:lang w:eastAsia="en-US"/>
        </w:rPr>
        <w:t>Важным моментом является формирование навыков освоения теоретических знаний и применения этих знаний на практике, формирование познавательного интереса и  создание ситуации успеха на уроке. Большое количество теоретических сведений из учебника или рассказа учителя остается в памяти ненадолго из-за не востребованности таких знаний. Например, технология производства искусственных и синтетических нитей, виды соединений деталей. Как сделать изучение такого материала интересным и запоминающимся? На помощь педагогу приходят совре</w:t>
      </w:r>
      <w:r w:rsidR="00D852DE">
        <w:rPr>
          <w:rFonts w:eastAsiaTheme="minorHAnsi"/>
          <w:sz w:val="28"/>
          <w:szCs w:val="28"/>
          <w:lang w:eastAsia="en-US"/>
        </w:rPr>
        <w:t>менные методы и приемы обучения.</w:t>
      </w:r>
      <w:r w:rsidRPr="00202CE5">
        <w:rPr>
          <w:rFonts w:eastAsiaTheme="minorHAnsi"/>
          <w:sz w:val="28"/>
          <w:szCs w:val="28"/>
          <w:lang w:eastAsia="en-US"/>
        </w:rPr>
        <w:t xml:space="preserve"> </w:t>
      </w:r>
    </w:p>
    <w:p w:rsidR="00AB5321" w:rsidRPr="00202CE5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 ментальных карт</w:t>
      </w:r>
      <w:r w:rsidRPr="00202CE5">
        <w:rPr>
          <w:color w:val="000000"/>
          <w:sz w:val="28"/>
          <w:szCs w:val="28"/>
          <w:lang w:eastAsia="ru-RU"/>
        </w:rPr>
        <w:t xml:space="preserve"> формир</w:t>
      </w:r>
      <w:r>
        <w:rPr>
          <w:color w:val="000000"/>
          <w:sz w:val="28"/>
          <w:szCs w:val="28"/>
          <w:lang w:eastAsia="ru-RU"/>
        </w:rPr>
        <w:t>ует навыки</w:t>
      </w:r>
      <w:r w:rsidRPr="00202CE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обработки </w:t>
      </w:r>
      <w:r w:rsidRPr="00202CE5">
        <w:rPr>
          <w:color w:val="000000"/>
          <w:sz w:val="28"/>
          <w:szCs w:val="28"/>
          <w:lang w:eastAsia="ru-RU"/>
        </w:rPr>
        <w:t>больш</w:t>
      </w:r>
      <w:r>
        <w:rPr>
          <w:color w:val="000000"/>
          <w:sz w:val="28"/>
          <w:szCs w:val="28"/>
          <w:lang w:eastAsia="ru-RU"/>
        </w:rPr>
        <w:t>ого</w:t>
      </w:r>
      <w:r w:rsidRPr="00202CE5">
        <w:rPr>
          <w:color w:val="000000"/>
          <w:sz w:val="28"/>
          <w:szCs w:val="28"/>
          <w:lang w:eastAsia="ru-RU"/>
        </w:rPr>
        <w:t xml:space="preserve"> объем</w:t>
      </w:r>
      <w:r>
        <w:rPr>
          <w:color w:val="000000"/>
          <w:sz w:val="28"/>
          <w:szCs w:val="28"/>
          <w:lang w:eastAsia="ru-RU"/>
        </w:rPr>
        <w:t>а</w:t>
      </w:r>
      <w:r w:rsidRPr="00202CE5">
        <w:rPr>
          <w:color w:val="000000"/>
          <w:sz w:val="28"/>
          <w:szCs w:val="28"/>
          <w:lang w:eastAsia="ru-RU"/>
        </w:rPr>
        <w:t xml:space="preserve"> информации и </w:t>
      </w:r>
      <w:r>
        <w:rPr>
          <w:color w:val="000000"/>
          <w:sz w:val="28"/>
          <w:szCs w:val="28"/>
          <w:lang w:eastAsia="ru-RU"/>
        </w:rPr>
        <w:t>отображения</w:t>
      </w:r>
      <w:r w:rsidRPr="00202CE5">
        <w:rPr>
          <w:color w:val="000000"/>
          <w:sz w:val="28"/>
          <w:szCs w:val="28"/>
          <w:lang w:eastAsia="ru-RU"/>
        </w:rPr>
        <w:t xml:space="preserve"> ее в виде логической схемы,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состоящей из ключевых понятий, образов и явлений</w:t>
      </w:r>
      <w:r>
        <w:rPr>
          <w:color w:val="000000"/>
          <w:sz w:val="28"/>
          <w:szCs w:val="28"/>
          <w:lang w:eastAsia="ru-RU"/>
        </w:rPr>
        <w:t>.</w:t>
      </w:r>
      <w:r w:rsidRPr="00202CE5">
        <w:rPr>
          <w:color w:val="000000"/>
          <w:sz w:val="28"/>
          <w:szCs w:val="28"/>
          <w:lang w:eastAsia="ru-RU"/>
        </w:rPr>
        <w:t xml:space="preserve"> Данная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технология представляет собой шаг вперед на пути от одномерного, линейного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 xml:space="preserve">логического мышления (причина-следствие, </w:t>
      </w:r>
      <w:r>
        <w:rPr>
          <w:color w:val="000000"/>
          <w:sz w:val="28"/>
          <w:szCs w:val="28"/>
          <w:lang w:eastAsia="ru-RU"/>
        </w:rPr>
        <w:t>«</w:t>
      </w:r>
      <w:r w:rsidRPr="00202CE5">
        <w:rPr>
          <w:color w:val="000000"/>
          <w:sz w:val="28"/>
          <w:szCs w:val="28"/>
          <w:lang w:eastAsia="ru-RU"/>
        </w:rPr>
        <w:t>да</w:t>
      </w:r>
      <w:r>
        <w:rPr>
          <w:color w:val="000000"/>
          <w:sz w:val="28"/>
          <w:szCs w:val="28"/>
          <w:lang w:eastAsia="ru-RU"/>
        </w:rPr>
        <w:t>»</w:t>
      </w:r>
      <w:r w:rsidRPr="00202CE5"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  <w:lang w:eastAsia="ru-RU"/>
        </w:rPr>
        <w:t>«</w:t>
      </w:r>
      <w:r w:rsidRPr="00202CE5">
        <w:rPr>
          <w:color w:val="000000"/>
          <w:sz w:val="28"/>
          <w:szCs w:val="28"/>
          <w:lang w:eastAsia="ru-RU"/>
        </w:rPr>
        <w:t>нет</w:t>
      </w:r>
      <w:r>
        <w:rPr>
          <w:color w:val="000000"/>
          <w:sz w:val="28"/>
          <w:szCs w:val="28"/>
          <w:lang w:eastAsia="ru-RU"/>
        </w:rPr>
        <w:t>»</w:t>
      </w:r>
      <w:r w:rsidRPr="00202CE5">
        <w:rPr>
          <w:color w:val="000000"/>
          <w:sz w:val="28"/>
          <w:szCs w:val="28"/>
          <w:lang w:eastAsia="ru-RU"/>
        </w:rPr>
        <w:t xml:space="preserve">) </w:t>
      </w:r>
      <w:proofErr w:type="gramStart"/>
      <w:r w:rsidRPr="00202CE5">
        <w:rPr>
          <w:color w:val="000000"/>
          <w:sz w:val="28"/>
          <w:szCs w:val="28"/>
          <w:lang w:eastAsia="ru-RU"/>
        </w:rPr>
        <w:t>к</w:t>
      </w:r>
      <w:proofErr w:type="gramEnd"/>
      <w:r w:rsidRPr="00202CE5">
        <w:rPr>
          <w:color w:val="000000"/>
          <w:sz w:val="28"/>
          <w:szCs w:val="28"/>
          <w:lang w:eastAsia="ru-RU"/>
        </w:rPr>
        <w:t xml:space="preserve"> многомерному,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 xml:space="preserve">неограниченному, </w:t>
      </w:r>
      <w:proofErr w:type="spellStart"/>
      <w:r w:rsidRPr="00202CE5">
        <w:rPr>
          <w:color w:val="000000"/>
          <w:sz w:val="28"/>
          <w:szCs w:val="28"/>
          <w:lang w:eastAsia="ru-RU"/>
        </w:rPr>
        <w:t>радиатному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9C398B">
        <w:rPr>
          <w:color w:val="000000"/>
          <w:sz w:val="28"/>
          <w:szCs w:val="28"/>
          <w:lang w:eastAsia="ru-RU"/>
        </w:rPr>
        <w:t>Радиантное</w:t>
      </w:r>
      <w:proofErr w:type="spellEnd"/>
      <w:r w:rsidRPr="009C398B">
        <w:rPr>
          <w:color w:val="000000"/>
          <w:sz w:val="28"/>
          <w:szCs w:val="28"/>
          <w:lang w:eastAsia="ru-RU"/>
        </w:rPr>
        <w:t xml:space="preserve"> мышление — это процесс мышления, при котором в центре находится некий объект, дающий импульс к рождению множества ассоциаций, которые становятся центральным образом уже для другого ассоциативного процесса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202CE5">
        <w:rPr>
          <w:color w:val="000000"/>
          <w:sz w:val="28"/>
          <w:szCs w:val="28"/>
          <w:lang w:eastAsia="ru-RU"/>
        </w:rPr>
        <w:t>«</w:t>
      </w:r>
      <w:proofErr w:type="spellStart"/>
      <w:r w:rsidRPr="00202CE5">
        <w:rPr>
          <w:color w:val="000000"/>
          <w:sz w:val="28"/>
          <w:szCs w:val="28"/>
          <w:lang w:eastAsia="ru-RU"/>
        </w:rPr>
        <w:t>Радиа</w:t>
      </w:r>
      <w:r>
        <w:rPr>
          <w:color w:val="000000"/>
          <w:sz w:val="28"/>
          <w:szCs w:val="28"/>
          <w:lang w:eastAsia="ru-RU"/>
        </w:rPr>
        <w:t>н</w:t>
      </w:r>
      <w:r w:rsidRPr="00202CE5">
        <w:rPr>
          <w:color w:val="000000"/>
          <w:sz w:val="28"/>
          <w:szCs w:val="28"/>
          <w:lang w:eastAsia="ru-RU"/>
        </w:rPr>
        <w:t>тное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 мышление» </w:t>
      </w:r>
      <w:r>
        <w:rPr>
          <w:color w:val="000000"/>
          <w:sz w:val="28"/>
          <w:szCs w:val="28"/>
          <w:lang w:eastAsia="ru-RU"/>
        </w:rPr>
        <w:t>о</w:t>
      </w:r>
      <w:r w:rsidRPr="00202CE5">
        <w:rPr>
          <w:color w:val="000000"/>
          <w:sz w:val="28"/>
          <w:szCs w:val="28"/>
          <w:lang w:eastAsia="ru-RU"/>
        </w:rPr>
        <w:t>тносится 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ассоциативным мыслительным процессам, отправной точкой или точкой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lastRenderedPageBreak/>
        <w:t>приложения которых является центральный объект. Вся теория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02CE5">
        <w:rPr>
          <w:color w:val="000000"/>
          <w:sz w:val="28"/>
          <w:szCs w:val="28"/>
          <w:lang w:eastAsia="ru-RU"/>
        </w:rPr>
        <w:t>радиатного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 мышления - это практические рекомендации по адаптации этого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принципа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02CE5">
        <w:rPr>
          <w:color w:val="000000"/>
          <w:sz w:val="28"/>
          <w:szCs w:val="28"/>
          <w:lang w:eastAsia="ru-RU"/>
        </w:rPr>
        <w:t>в</w:t>
      </w:r>
      <w:proofErr w:type="gramEnd"/>
    </w:p>
    <w:p w:rsidR="00AB5321" w:rsidRDefault="00AB5321" w:rsidP="00AB532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02CE5">
        <w:rPr>
          <w:color w:val="000000"/>
          <w:sz w:val="28"/>
          <w:szCs w:val="28"/>
          <w:lang w:eastAsia="ru-RU"/>
        </w:rPr>
        <w:t>качестве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альтернативного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способа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изложения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>усвоенн</w:t>
      </w:r>
      <w:r>
        <w:rPr>
          <w:color w:val="000000"/>
          <w:sz w:val="28"/>
          <w:szCs w:val="28"/>
          <w:lang w:eastAsia="ru-RU"/>
        </w:rPr>
        <w:t xml:space="preserve">ого </w:t>
      </w:r>
      <w:r w:rsidRPr="00202CE5">
        <w:rPr>
          <w:color w:val="000000"/>
          <w:sz w:val="28"/>
          <w:szCs w:val="28"/>
          <w:lang w:eastAsia="ru-RU"/>
        </w:rPr>
        <w:t>материал</w:t>
      </w:r>
      <w:r>
        <w:rPr>
          <w:color w:val="000000"/>
          <w:sz w:val="28"/>
          <w:szCs w:val="28"/>
          <w:lang w:eastAsia="ru-RU"/>
        </w:rPr>
        <w:t>а</w:t>
      </w:r>
      <w:r w:rsidRPr="00202CE5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AB5321" w:rsidRPr="00202CE5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202CE5">
        <w:rPr>
          <w:color w:val="000000"/>
          <w:sz w:val="28"/>
          <w:szCs w:val="28"/>
          <w:lang w:eastAsia="ru-RU"/>
        </w:rPr>
        <w:t xml:space="preserve">Суть метода заключается в выборе группой  </w:t>
      </w:r>
      <w:r>
        <w:rPr>
          <w:color w:val="000000"/>
          <w:sz w:val="28"/>
          <w:szCs w:val="28"/>
          <w:lang w:eastAsia="ru-RU"/>
        </w:rPr>
        <w:t xml:space="preserve">или одного обучающегося </w:t>
      </w:r>
      <w:r w:rsidRPr="00202CE5">
        <w:rPr>
          <w:color w:val="000000"/>
          <w:sz w:val="28"/>
          <w:szCs w:val="28"/>
          <w:lang w:eastAsia="ru-RU"/>
        </w:rPr>
        <w:t xml:space="preserve">основного ключевого момента, идеи, явления  или предмета из всего многообразия информации: учебник, презентация, видеофрагмент, текст на экране. Далее это слово или слова записываются по центру листа и окружаются зависимыми или связанными словами, словосочетаниями. Соединять можно ветками, линиями, дорожками разных цветов. Сначала они соединяются  с первым ключевым словом, эта связь выполняет функцию логического объединения двух элементов. Затем, по мере изучения, каждое слово или понятие соединяются со следующими по логике понятиями или словами. И так дополняют карту имеющимися сведениями в виде веток, листьев, областей, которые имеют логическое соответствие. </w:t>
      </w:r>
    </w:p>
    <w:p w:rsidR="00AB5321" w:rsidRPr="00202CE5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202CE5">
        <w:rPr>
          <w:color w:val="000000"/>
          <w:sz w:val="28"/>
          <w:szCs w:val="28"/>
          <w:lang w:eastAsia="ru-RU"/>
        </w:rPr>
        <w:t xml:space="preserve">Одним из самых ранних примеров графических записей, сильно похожих на ментальные карты, были рисунки Порфирия из </w:t>
      </w:r>
      <w:proofErr w:type="spellStart"/>
      <w:r w:rsidRPr="00202CE5">
        <w:rPr>
          <w:color w:val="000000"/>
          <w:sz w:val="28"/>
          <w:szCs w:val="28"/>
          <w:lang w:eastAsia="ru-RU"/>
        </w:rPr>
        <w:t>Тироса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 ф</w:t>
      </w:r>
      <w:r w:rsidRPr="00202CE5">
        <w:rPr>
          <w:color w:val="000000"/>
          <w:sz w:val="28"/>
          <w:szCs w:val="28"/>
          <w:lang w:eastAsia="ru-RU"/>
        </w:rPr>
        <w:t>илософа жившего в 3 веке н. э. В своих работах он графически изобразил концепцию категорий философии Аристотеля.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02CE5">
        <w:rPr>
          <w:color w:val="000000"/>
          <w:sz w:val="28"/>
          <w:szCs w:val="28"/>
          <w:lang w:eastAsia="ru-RU"/>
        </w:rPr>
        <w:t xml:space="preserve">Изобретателем современного вида диаграмм связей, методики ментальных карт, был психолог Тони </w:t>
      </w:r>
      <w:proofErr w:type="spellStart"/>
      <w:r w:rsidRPr="00202CE5">
        <w:rPr>
          <w:color w:val="000000"/>
          <w:sz w:val="28"/>
          <w:szCs w:val="28"/>
          <w:lang w:eastAsia="ru-RU"/>
        </w:rPr>
        <w:t>Бьюзен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, как он сам это и утверждает. На создание метода его вдохновили идеи Альфреда </w:t>
      </w:r>
      <w:proofErr w:type="spellStart"/>
      <w:r w:rsidRPr="00202CE5">
        <w:rPr>
          <w:color w:val="000000"/>
          <w:sz w:val="28"/>
          <w:szCs w:val="28"/>
          <w:lang w:eastAsia="ru-RU"/>
        </w:rPr>
        <w:t>Коржибски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 из области общей семантики, популяризованной в научно-фантастических романах Роберта Хайнлайна и Альфреда </w:t>
      </w:r>
      <w:proofErr w:type="spellStart"/>
      <w:r w:rsidRPr="00202CE5">
        <w:rPr>
          <w:color w:val="000000"/>
          <w:sz w:val="28"/>
          <w:szCs w:val="28"/>
          <w:lang w:eastAsia="ru-RU"/>
        </w:rPr>
        <w:t>ван</w:t>
      </w:r>
      <w:proofErr w:type="spellEnd"/>
      <w:r w:rsidRPr="00202CE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02CE5">
        <w:rPr>
          <w:color w:val="000000"/>
          <w:sz w:val="28"/>
          <w:szCs w:val="28"/>
          <w:lang w:eastAsia="ru-RU"/>
        </w:rPr>
        <w:t>Вогта</w:t>
      </w:r>
      <w:proofErr w:type="spellEnd"/>
      <w:r w:rsidRPr="00202CE5">
        <w:rPr>
          <w:color w:val="000000"/>
          <w:sz w:val="28"/>
          <w:szCs w:val="28"/>
          <w:lang w:eastAsia="ru-RU"/>
        </w:rPr>
        <w:t>.</w:t>
      </w:r>
    </w:p>
    <w:p w:rsidR="00AB5321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Перечислим некоторые достоинства метода ментальных карт в обучении: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развитие логического, пространственного и радиального мышления;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повышение творческой активности;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выявление «слабых мест» в усвоении теоретического материала;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самостоятельное изучение и обработка информации;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стимулирование познавательной активности;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создание ситуации успеха для </w:t>
      </w:r>
      <w:proofErr w:type="gramStart"/>
      <w:r>
        <w:rPr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color w:val="000000"/>
          <w:sz w:val="28"/>
          <w:szCs w:val="28"/>
          <w:lang w:eastAsia="ru-RU"/>
        </w:rPr>
        <w:t xml:space="preserve"> с различным уровнем подготовки и мотивации;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усиление эмоциональной связи между членами группы, создание атмосферы сотрудничества;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использование информационных поисковых систем и программ визуализации для оформления карты;</w:t>
      </w:r>
    </w:p>
    <w:p w:rsidR="00AB5321" w:rsidRDefault="00AB5321" w:rsidP="00AB5321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использование карт, подготовленных другими группами, как дидактического материала.</w:t>
      </w:r>
    </w:p>
    <w:p w:rsidR="00AB5321" w:rsidRDefault="00AB5321" w:rsidP="00AB5321">
      <w:pPr>
        <w:pStyle w:val="a4"/>
        <w:shd w:val="clear" w:color="auto" w:fill="FFFFFF"/>
        <w:ind w:left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ab/>
        <w:t>Алгоритм действий при создании ментальных карт приведен в Приложении 1.</w:t>
      </w:r>
    </w:p>
    <w:p w:rsidR="00AB5321" w:rsidRDefault="00AB5321" w:rsidP="00AB5321">
      <w:pPr>
        <w:pStyle w:val="a4"/>
        <w:shd w:val="clear" w:color="auto" w:fill="FFFFFF"/>
        <w:ind w:left="0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Примером использования метода может послужить подготовка к уроку по темам «Проектная деятельность», «История создания швейной машины», «Измерение фигуры человека», «Электроосветительные и электронагревательные приборы» и другие в системе «перевернутый класс», когда домашнее задание дается в виде самостоятельного изучения большого объема теоретических сведений. В этом случае на уроке в группах обучающиеся создают карту по  заданию учителя.</w:t>
      </w:r>
    </w:p>
    <w:p w:rsidR="00AB5321" w:rsidRDefault="00AB5321" w:rsidP="00AB5321">
      <w:pPr>
        <w:pStyle w:val="a4"/>
        <w:shd w:val="clear" w:color="auto" w:fill="FFFFFF"/>
        <w:ind w:left="0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Ещё одним примером использования метода может послужить урок развивающего контроля (по типологии уроков в соответствии с ФГОС) по теме «Витамины и здоровое питание». На этапе актуализации и пробного действия обучающиеся изучают ментальную карту, разработанную специально с ошибками (в структуре, в хронологии или логике изложения, с ошибками в терминах и сведениях или в оформлении карты). По результатам оценивания выставляется оценка по предложенным критериям, и озвучиваются комментарии. В отличие от других типов урока на уроке завивающего  контроля «</w:t>
      </w:r>
      <w:proofErr w:type="gramStart"/>
      <w:r>
        <w:rPr>
          <w:color w:val="000000"/>
          <w:sz w:val="28"/>
          <w:szCs w:val="28"/>
          <w:lang w:eastAsia="ru-RU"/>
        </w:rPr>
        <w:t>проверяющим</w:t>
      </w:r>
      <w:proofErr w:type="gramEnd"/>
      <w:r>
        <w:rPr>
          <w:color w:val="000000"/>
          <w:sz w:val="28"/>
          <w:szCs w:val="28"/>
          <w:lang w:eastAsia="ru-RU"/>
        </w:rPr>
        <w:t xml:space="preserve">» не даются правильные ответы, оценка опирается на полученные раннее знания. То есть обучающиеся должны владеть изученным материалом в совершенстве.  Пример карточки оценивания ментальной карты по теме «Витамины и здоровое питание» приведён в Приложении 2. </w:t>
      </w:r>
    </w:p>
    <w:p w:rsidR="00AB5321" w:rsidRDefault="00AB5321" w:rsidP="00AB5321">
      <w:pPr>
        <w:pStyle w:val="a4"/>
        <w:shd w:val="clear" w:color="auto" w:fill="FFFFFF"/>
        <w:ind w:left="0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Интересным для реализации в определенных условиях назовём использование специальных программ для создания ментальных карт на компьютере и планшете. Перечислим такие прикладные программы: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mapul.com</w:t>
      </w:r>
      <w:r>
        <w:rPr>
          <w:color w:val="000000"/>
          <w:sz w:val="28"/>
          <w:szCs w:val="28"/>
          <w:lang w:eastAsia="ru-RU"/>
        </w:rPr>
        <w:t>;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spinscape.com</w:t>
      </w:r>
      <w:r>
        <w:rPr>
          <w:color w:val="000000"/>
          <w:sz w:val="28"/>
          <w:szCs w:val="28"/>
          <w:lang w:eastAsia="ru-RU"/>
        </w:rPr>
        <w:t>4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mind42.com</w:t>
      </w:r>
      <w:r>
        <w:rPr>
          <w:color w:val="000000"/>
          <w:sz w:val="28"/>
          <w:szCs w:val="28"/>
          <w:lang w:eastAsia="ru-RU"/>
        </w:rPr>
        <w:t>;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text2mindmap.com</w:t>
      </w:r>
      <w:r>
        <w:rPr>
          <w:color w:val="000000"/>
          <w:sz w:val="28"/>
          <w:szCs w:val="28"/>
          <w:lang w:eastAsia="ru-RU"/>
        </w:rPr>
        <w:t>;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en.ekpenso.com</w:t>
      </w:r>
      <w:r>
        <w:rPr>
          <w:color w:val="000000"/>
          <w:sz w:val="28"/>
          <w:szCs w:val="28"/>
          <w:lang w:eastAsia="ru-RU"/>
        </w:rPr>
        <w:t>;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Bubbl.us</w:t>
      </w:r>
      <w:r>
        <w:rPr>
          <w:color w:val="000000"/>
          <w:sz w:val="28"/>
          <w:szCs w:val="28"/>
          <w:lang w:eastAsia="ru-RU"/>
        </w:rPr>
        <w:t>;</w:t>
      </w:r>
    </w:p>
    <w:p w:rsidR="00AB5321" w:rsidRDefault="00AB5321" w:rsidP="00AB5321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4D0548">
        <w:rPr>
          <w:color w:val="000000"/>
          <w:sz w:val="28"/>
          <w:szCs w:val="28"/>
          <w:lang w:eastAsia="ru-RU"/>
        </w:rPr>
        <w:t>wisemapping.com</w:t>
      </w:r>
      <w:r>
        <w:rPr>
          <w:color w:val="000000"/>
          <w:sz w:val="28"/>
          <w:szCs w:val="28"/>
          <w:lang w:eastAsia="ru-RU"/>
        </w:rPr>
        <w:t>.</w:t>
      </w:r>
    </w:p>
    <w:p w:rsidR="00AB5321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AB5321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473C89">
        <w:rPr>
          <w:color w:val="000000"/>
          <w:sz w:val="28"/>
          <w:szCs w:val="28"/>
          <w:lang w:eastAsia="ru-RU"/>
        </w:rPr>
        <w:t xml:space="preserve">Переход на </w:t>
      </w:r>
      <w:r>
        <w:rPr>
          <w:color w:val="000000"/>
          <w:sz w:val="28"/>
          <w:szCs w:val="28"/>
          <w:lang w:eastAsia="ru-RU"/>
        </w:rPr>
        <w:t>новые стандарты образования</w:t>
      </w:r>
      <w:r w:rsidRPr="00473C89">
        <w:rPr>
          <w:color w:val="000000"/>
          <w:sz w:val="28"/>
          <w:szCs w:val="28"/>
          <w:lang w:eastAsia="ru-RU"/>
        </w:rPr>
        <w:t xml:space="preserve"> требует от учителя не только знани</w:t>
      </w:r>
      <w:r>
        <w:rPr>
          <w:color w:val="000000"/>
          <w:sz w:val="28"/>
          <w:szCs w:val="28"/>
          <w:lang w:eastAsia="ru-RU"/>
        </w:rPr>
        <w:t>й</w:t>
      </w:r>
      <w:r w:rsidRPr="00473C89">
        <w:rPr>
          <w:color w:val="000000"/>
          <w:sz w:val="28"/>
          <w:szCs w:val="28"/>
          <w:lang w:eastAsia="ru-RU"/>
        </w:rPr>
        <w:t xml:space="preserve"> и понимания основных принципов сис</w:t>
      </w:r>
      <w:r>
        <w:rPr>
          <w:color w:val="000000"/>
          <w:sz w:val="28"/>
          <w:szCs w:val="28"/>
          <w:lang w:eastAsia="ru-RU"/>
        </w:rPr>
        <w:t>темно</w:t>
      </w:r>
      <w:r w:rsidRPr="00473C89">
        <w:rPr>
          <w:color w:val="000000"/>
          <w:sz w:val="28"/>
          <w:szCs w:val="28"/>
          <w:lang w:eastAsia="ru-RU"/>
        </w:rPr>
        <w:t>-</w:t>
      </w:r>
      <w:proofErr w:type="spellStart"/>
      <w:r w:rsidRPr="00473C89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73C89">
        <w:rPr>
          <w:color w:val="000000"/>
          <w:sz w:val="28"/>
          <w:szCs w:val="28"/>
          <w:lang w:eastAsia="ru-RU"/>
        </w:rPr>
        <w:t xml:space="preserve"> подхода в образовании, но и активных действий по его внедрению в учебный процесс. </w:t>
      </w:r>
      <w:r w:rsidRPr="00202CE5">
        <w:rPr>
          <w:color w:val="000000"/>
          <w:sz w:val="28"/>
          <w:szCs w:val="28"/>
          <w:lang w:eastAsia="ru-RU"/>
        </w:rPr>
        <w:t xml:space="preserve">Интенсивное обучение в современной школе только набирает обороты. Имеющийся опыт апробаций инновационных методов и форм обучения, продиктованный не только модой, но и необходимостью повышения эффективности уроков, подсказывает несколько возможных вариантов выбор технологий </w:t>
      </w:r>
      <w:r w:rsidRPr="00054C69">
        <w:rPr>
          <w:color w:val="000000"/>
          <w:sz w:val="28"/>
          <w:szCs w:val="28"/>
          <w:lang w:eastAsia="ru-RU"/>
        </w:rPr>
        <w:t>и методов для организации системно</w:t>
      </w:r>
      <w:r>
        <w:rPr>
          <w:color w:val="000000"/>
          <w:sz w:val="28"/>
          <w:szCs w:val="28"/>
          <w:lang w:eastAsia="ru-RU"/>
        </w:rPr>
        <w:t>-</w:t>
      </w:r>
      <w:proofErr w:type="spellStart"/>
      <w:r w:rsidRPr="00054C69">
        <w:rPr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54C69">
        <w:rPr>
          <w:color w:val="000000"/>
          <w:sz w:val="28"/>
          <w:szCs w:val="28"/>
          <w:lang w:eastAsia="ru-RU"/>
        </w:rPr>
        <w:t xml:space="preserve"> подхода.</w:t>
      </w:r>
      <w:r>
        <w:rPr>
          <w:color w:val="000000"/>
          <w:sz w:val="28"/>
          <w:szCs w:val="28"/>
          <w:lang w:eastAsia="ru-RU"/>
        </w:rPr>
        <w:t xml:space="preserve"> Это м</w:t>
      </w:r>
      <w:r w:rsidRPr="00C65C51">
        <w:rPr>
          <w:color w:val="000000"/>
          <w:sz w:val="28"/>
          <w:szCs w:val="28"/>
          <w:lang w:eastAsia="ru-RU"/>
        </w:rPr>
        <w:t>етоды мотивации учебной деятельности</w:t>
      </w:r>
      <w:r w:rsidRPr="00473C8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и методы </w:t>
      </w:r>
      <w:r w:rsidRPr="00C65C51">
        <w:rPr>
          <w:color w:val="000000"/>
          <w:sz w:val="28"/>
          <w:szCs w:val="28"/>
          <w:lang w:eastAsia="ru-RU"/>
        </w:rPr>
        <w:t>формирования новых умений</w:t>
      </w:r>
      <w:r>
        <w:rPr>
          <w:color w:val="000000"/>
          <w:sz w:val="28"/>
          <w:szCs w:val="28"/>
          <w:lang w:eastAsia="ru-RU"/>
        </w:rPr>
        <w:t>: с</w:t>
      </w:r>
      <w:r w:rsidRPr="00C65C51">
        <w:rPr>
          <w:color w:val="000000"/>
          <w:sz w:val="28"/>
          <w:szCs w:val="28"/>
          <w:lang w:eastAsia="ru-RU"/>
        </w:rPr>
        <w:t xml:space="preserve">оздание проблемной ситуации </w:t>
      </w:r>
      <w:r>
        <w:rPr>
          <w:color w:val="000000"/>
          <w:sz w:val="28"/>
          <w:szCs w:val="28"/>
          <w:lang w:eastAsia="ru-RU"/>
        </w:rPr>
        <w:t xml:space="preserve"> или </w:t>
      </w:r>
      <w:r w:rsidRPr="00C65C51">
        <w:rPr>
          <w:color w:val="000000"/>
          <w:sz w:val="28"/>
          <w:szCs w:val="28"/>
          <w:lang w:eastAsia="ru-RU"/>
        </w:rPr>
        <w:t>ситуации неопределенности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C65C51">
        <w:rPr>
          <w:color w:val="000000"/>
          <w:sz w:val="28"/>
          <w:szCs w:val="28"/>
          <w:lang w:eastAsia="ru-RU"/>
        </w:rPr>
        <w:t>метод проектов, кейс-метод (решение ситуационных задач), мозговой штурм (решение нестандартных задач) и др.</w:t>
      </w:r>
    </w:p>
    <w:p w:rsidR="00AB5321" w:rsidRPr="00C65C51" w:rsidRDefault="00AB5321" w:rsidP="00AB5321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Метод ментальных карт, или как их называют иначе -  </w:t>
      </w:r>
      <w:proofErr w:type="gramStart"/>
      <w:r>
        <w:rPr>
          <w:color w:val="000000"/>
          <w:sz w:val="28"/>
          <w:szCs w:val="28"/>
          <w:lang w:eastAsia="ru-RU"/>
        </w:rPr>
        <w:t>интеллект-карт</w:t>
      </w:r>
      <w:proofErr w:type="gramEnd"/>
      <w:r>
        <w:rPr>
          <w:color w:val="000000"/>
          <w:sz w:val="28"/>
          <w:szCs w:val="28"/>
          <w:lang w:eastAsia="ru-RU"/>
        </w:rPr>
        <w:t>, совершенно точно найдет достойное место в методической копилке учителей технологии.</w:t>
      </w:r>
    </w:p>
    <w:p w:rsidR="00AB5321" w:rsidRPr="00473C89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D852DE" w:rsidRDefault="00D852DE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B5321" w:rsidRPr="00473C89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3C89">
        <w:rPr>
          <w:rFonts w:eastAsiaTheme="minorHAnsi"/>
          <w:sz w:val="28"/>
          <w:szCs w:val="28"/>
          <w:lang w:eastAsia="en-US"/>
        </w:rPr>
        <w:t>Список литературы</w:t>
      </w:r>
    </w:p>
    <w:p w:rsidR="00AB5321" w:rsidRPr="00473C89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3C89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Бьюзен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 xml:space="preserve">, Т. Карты памяти. Используй свою память на 100% / Т. 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Бьюзен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 xml:space="preserve">. – М.: 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РосмэнПресс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>, 2007. – 96 с.</w:t>
      </w:r>
    </w:p>
    <w:p w:rsidR="00AB5321" w:rsidRPr="00473C89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3C89">
        <w:rPr>
          <w:rFonts w:eastAsiaTheme="minorHAnsi"/>
          <w:sz w:val="28"/>
          <w:szCs w:val="28"/>
          <w:lang w:eastAsia="en-US"/>
        </w:rPr>
        <w:t xml:space="preserve">2. Воробьева, В.М. Эффективное использование метода </w:t>
      </w:r>
      <w:proofErr w:type="gramStart"/>
      <w:r w:rsidRPr="00473C89">
        <w:rPr>
          <w:rFonts w:eastAsiaTheme="minorHAnsi"/>
          <w:sz w:val="28"/>
          <w:szCs w:val="28"/>
          <w:lang w:eastAsia="en-US"/>
        </w:rPr>
        <w:t>интеллект–карт</w:t>
      </w:r>
      <w:proofErr w:type="gramEnd"/>
      <w:r w:rsidRPr="00473C89">
        <w:rPr>
          <w:rFonts w:eastAsiaTheme="minorHAnsi"/>
          <w:sz w:val="28"/>
          <w:szCs w:val="28"/>
          <w:lang w:eastAsia="en-US"/>
        </w:rPr>
        <w:t xml:space="preserve"> на уроках: Методическое пособие. / В.М. Воробьева, Л.В. Чурикова, Л.Г. 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Будунова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>, – М.: ГБОУ «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ТемоЦентр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>», 2013. – 44 с.</w:t>
      </w:r>
    </w:p>
    <w:p w:rsidR="00AB5321" w:rsidRPr="00473C89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3C89">
        <w:rPr>
          <w:rFonts w:eastAsiaTheme="minorHAnsi"/>
          <w:sz w:val="28"/>
          <w:szCs w:val="28"/>
          <w:lang w:eastAsia="en-US"/>
        </w:rPr>
        <w:t>3. Мюллер, Х. Составление ментальных карт. Метод генерации и структурирования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3C89">
        <w:rPr>
          <w:rFonts w:eastAsiaTheme="minorHAnsi"/>
          <w:sz w:val="28"/>
          <w:szCs w:val="28"/>
          <w:lang w:eastAsia="en-US"/>
        </w:rPr>
        <w:t>идей / Х. Мюллер. – М.: Омега-Л, 2007. – 126 с.</w:t>
      </w:r>
    </w:p>
    <w:p w:rsidR="00AB5321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3C89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473C89">
        <w:rPr>
          <w:rFonts w:eastAsiaTheme="minorHAnsi"/>
          <w:sz w:val="28"/>
          <w:szCs w:val="28"/>
          <w:lang w:eastAsia="en-US"/>
        </w:rPr>
        <w:t>Сазанова</w:t>
      </w:r>
      <w:proofErr w:type="spellEnd"/>
      <w:r w:rsidRPr="00473C89">
        <w:rPr>
          <w:rFonts w:eastAsiaTheme="minorHAnsi"/>
          <w:sz w:val="28"/>
          <w:szCs w:val="28"/>
          <w:lang w:eastAsia="en-US"/>
        </w:rPr>
        <w:t>, Л. Ментальные карты как средство обучения в вузе // Перспективы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3C89">
        <w:rPr>
          <w:rFonts w:eastAsiaTheme="minorHAnsi"/>
          <w:sz w:val="28"/>
          <w:szCs w:val="28"/>
          <w:lang w:eastAsia="en-US"/>
        </w:rPr>
        <w:t>развития информационных технологий. – 2016. – № 28. – С. 118 – 122.</w:t>
      </w:r>
    </w:p>
    <w:p w:rsidR="00AB5321" w:rsidRPr="00202CE5" w:rsidRDefault="00AB5321" w:rsidP="00AB5321">
      <w:pPr>
        <w:suppressAutoHyphens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AB5321" w:rsidRPr="00F8439C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sz w:val="28"/>
          <w:szCs w:val="28"/>
          <w:lang w:eastAsia="ru-RU"/>
        </w:rPr>
        <w:t xml:space="preserve"> </w:t>
      </w:r>
      <w:proofErr w:type="gramStart"/>
      <w:r w:rsidRPr="00F8439C">
        <w:rPr>
          <w:sz w:val="28"/>
          <w:szCs w:val="28"/>
          <w:lang w:eastAsia="ru-RU"/>
        </w:rPr>
        <w:t>Интернет-ссылки</w:t>
      </w:r>
      <w:proofErr w:type="gramEnd"/>
    </w:p>
    <w:p w:rsidR="00AB5321" w:rsidRPr="00F8439C" w:rsidRDefault="00AB5321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color w:val="0000FF"/>
          <w:sz w:val="28"/>
          <w:szCs w:val="28"/>
        </w:rPr>
        <w:t xml:space="preserve">http://bershadskiy.ru/index/metod_intellekt_kart/0-32 </w:t>
      </w:r>
      <w:r w:rsidRPr="00F8439C">
        <w:rPr>
          <w:color w:val="000000"/>
          <w:sz w:val="28"/>
          <w:szCs w:val="28"/>
        </w:rPr>
        <w:t xml:space="preserve">- Михаил Евгеньевич </w:t>
      </w:r>
      <w:proofErr w:type="spellStart"/>
      <w:r w:rsidRPr="00F8439C">
        <w:rPr>
          <w:color w:val="000000"/>
          <w:sz w:val="28"/>
          <w:szCs w:val="28"/>
        </w:rPr>
        <w:t>Бершадский</w:t>
      </w:r>
      <w:proofErr w:type="spellEnd"/>
      <w:r w:rsidRPr="00F8439C">
        <w:rPr>
          <w:color w:val="000000"/>
          <w:sz w:val="28"/>
          <w:szCs w:val="28"/>
        </w:rPr>
        <w:t xml:space="preserve">. О методе </w:t>
      </w:r>
      <w:proofErr w:type="gramStart"/>
      <w:r w:rsidRPr="00F8439C">
        <w:rPr>
          <w:color w:val="000000"/>
          <w:sz w:val="28"/>
          <w:szCs w:val="28"/>
        </w:rPr>
        <w:t>интеллект-карт</w:t>
      </w:r>
      <w:proofErr w:type="gramEnd"/>
      <w:r>
        <w:rPr>
          <w:color w:val="000000"/>
          <w:sz w:val="28"/>
          <w:szCs w:val="28"/>
        </w:rPr>
        <w:t>.</w:t>
      </w:r>
    </w:p>
    <w:p w:rsidR="00AB5321" w:rsidRPr="00F8439C" w:rsidRDefault="00AB5321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color w:val="0000FF"/>
          <w:sz w:val="28"/>
          <w:szCs w:val="28"/>
        </w:rPr>
        <w:t xml:space="preserve">http://www.improvement.ru/zametki/mindmap/ </w:t>
      </w:r>
      <w:r w:rsidRPr="00F8439C">
        <w:rPr>
          <w:color w:val="000000"/>
          <w:sz w:val="28"/>
          <w:szCs w:val="28"/>
        </w:rPr>
        <w:t xml:space="preserve">- Тимур Василенко. </w:t>
      </w:r>
      <w:proofErr w:type="spellStart"/>
      <w:r w:rsidRPr="00F8439C">
        <w:rPr>
          <w:color w:val="000000"/>
          <w:sz w:val="28"/>
          <w:szCs w:val="28"/>
        </w:rPr>
        <w:t>Mind</w:t>
      </w:r>
      <w:proofErr w:type="spellEnd"/>
      <w:r w:rsidRPr="00F8439C">
        <w:rPr>
          <w:color w:val="000000"/>
          <w:sz w:val="28"/>
          <w:szCs w:val="28"/>
        </w:rPr>
        <w:t xml:space="preserve"> </w:t>
      </w:r>
      <w:proofErr w:type="spellStart"/>
      <w:r w:rsidRPr="00F8439C">
        <w:rPr>
          <w:color w:val="000000"/>
          <w:sz w:val="28"/>
          <w:szCs w:val="28"/>
        </w:rPr>
        <w:t>Maps</w:t>
      </w:r>
      <w:proofErr w:type="spellEnd"/>
      <w:r w:rsidRPr="00F8439C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F8439C">
        <w:rPr>
          <w:color w:val="000000"/>
          <w:sz w:val="28"/>
          <w:szCs w:val="28"/>
        </w:rPr>
        <w:t>опыт использования</w:t>
      </w:r>
      <w:r>
        <w:rPr>
          <w:color w:val="000000"/>
          <w:sz w:val="28"/>
          <w:szCs w:val="28"/>
        </w:rPr>
        <w:t>.</w:t>
      </w:r>
    </w:p>
    <w:p w:rsidR="00AB5321" w:rsidRPr="00F8439C" w:rsidRDefault="00AB5321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color w:val="0000FF"/>
          <w:sz w:val="28"/>
          <w:szCs w:val="28"/>
        </w:rPr>
        <w:t xml:space="preserve">http://www.yugzone.ru/mindmap.htm </w:t>
      </w:r>
      <w:r w:rsidRPr="00F8439C">
        <w:rPr>
          <w:color w:val="000000"/>
          <w:sz w:val="28"/>
          <w:szCs w:val="28"/>
        </w:rPr>
        <w:t xml:space="preserve">- </w:t>
      </w:r>
      <w:proofErr w:type="spellStart"/>
      <w:r w:rsidRPr="00F8439C">
        <w:rPr>
          <w:color w:val="000000"/>
          <w:sz w:val="28"/>
          <w:szCs w:val="28"/>
        </w:rPr>
        <w:t>Mind</w:t>
      </w:r>
      <w:proofErr w:type="spellEnd"/>
      <w:r w:rsidRPr="00F8439C">
        <w:rPr>
          <w:color w:val="000000"/>
          <w:sz w:val="28"/>
          <w:szCs w:val="28"/>
        </w:rPr>
        <w:t xml:space="preserve"> </w:t>
      </w:r>
      <w:proofErr w:type="spellStart"/>
      <w:r w:rsidRPr="00F8439C">
        <w:rPr>
          <w:color w:val="000000"/>
          <w:sz w:val="28"/>
          <w:szCs w:val="28"/>
        </w:rPr>
        <w:t>map</w:t>
      </w:r>
      <w:proofErr w:type="spellEnd"/>
      <w:r w:rsidRPr="00F8439C">
        <w:rPr>
          <w:color w:val="000000"/>
          <w:sz w:val="28"/>
          <w:szCs w:val="28"/>
        </w:rPr>
        <w:t xml:space="preserve"> — </w:t>
      </w:r>
      <w:proofErr w:type="gramStart"/>
      <w:r w:rsidRPr="00F8439C">
        <w:rPr>
          <w:color w:val="000000"/>
          <w:sz w:val="28"/>
          <w:szCs w:val="28"/>
        </w:rPr>
        <w:t>интеллект-карты</w:t>
      </w:r>
      <w:proofErr w:type="gramEnd"/>
      <w:r>
        <w:rPr>
          <w:color w:val="000000"/>
          <w:sz w:val="28"/>
          <w:szCs w:val="28"/>
        </w:rPr>
        <w:t>.</w:t>
      </w:r>
    </w:p>
    <w:p w:rsidR="00AB5321" w:rsidRPr="00F8439C" w:rsidRDefault="00AB5321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color w:val="0000FF"/>
          <w:sz w:val="28"/>
          <w:szCs w:val="28"/>
        </w:rPr>
        <w:t xml:space="preserve">http://www.mind-map.ru/?s=33 </w:t>
      </w:r>
      <w:r w:rsidRPr="00F8439C">
        <w:rPr>
          <w:color w:val="000000"/>
          <w:sz w:val="28"/>
          <w:szCs w:val="28"/>
        </w:rPr>
        <w:t>- Как рисовать карты</w:t>
      </w:r>
      <w:r>
        <w:rPr>
          <w:color w:val="000000"/>
          <w:sz w:val="28"/>
          <w:szCs w:val="28"/>
        </w:rPr>
        <w:t>.</w:t>
      </w:r>
    </w:p>
    <w:p w:rsidR="00AB5321" w:rsidRPr="00F8439C" w:rsidRDefault="00AB5321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8439C">
        <w:rPr>
          <w:color w:val="0000FF"/>
          <w:sz w:val="28"/>
          <w:szCs w:val="28"/>
        </w:rPr>
        <w:t xml:space="preserve">http://www.syntone.ru/library/article_other/content/399.html?current_book_page=1 </w:t>
      </w:r>
      <w:r w:rsidRPr="00F8439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F8439C">
        <w:rPr>
          <w:color w:val="000000"/>
          <w:sz w:val="28"/>
          <w:szCs w:val="28"/>
        </w:rPr>
        <w:t>Интеллект-карта как способ принятия важных решений</w:t>
      </w:r>
      <w:r>
        <w:rPr>
          <w:color w:val="000000"/>
          <w:sz w:val="28"/>
          <w:szCs w:val="28"/>
        </w:rPr>
        <w:t>.</w:t>
      </w:r>
    </w:p>
    <w:p w:rsidR="00AB5321" w:rsidRPr="00F8439C" w:rsidRDefault="00EE1D25" w:rsidP="00AB5321">
      <w:pPr>
        <w:pStyle w:val="a4"/>
        <w:numPr>
          <w:ilvl w:val="0"/>
          <w:numId w:val="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hyperlink r:id="rId6" w:history="1">
        <w:r w:rsidR="00AB5321" w:rsidRPr="004434F9">
          <w:rPr>
            <w:rStyle w:val="a3"/>
            <w:sz w:val="28"/>
            <w:szCs w:val="28"/>
          </w:rPr>
          <w:t>http://www.smarttime.com.ua/index.php?option=com_content&amp;view=article&amp;id=117</w:t>
        </w:r>
      </w:hyperlink>
      <w:r w:rsidR="00AB5321">
        <w:rPr>
          <w:color w:val="0000FF"/>
          <w:sz w:val="28"/>
          <w:szCs w:val="28"/>
        </w:rPr>
        <w:t xml:space="preserve"> - </w:t>
      </w:r>
      <w:r w:rsidR="00AB5321" w:rsidRPr="00F8439C">
        <w:rPr>
          <w:color w:val="000000"/>
          <w:sz w:val="28"/>
          <w:szCs w:val="28"/>
        </w:rPr>
        <w:t>Сила</w:t>
      </w:r>
      <w:r w:rsidR="00AB5321">
        <w:rPr>
          <w:color w:val="000000"/>
          <w:sz w:val="28"/>
          <w:szCs w:val="28"/>
        </w:rPr>
        <w:t xml:space="preserve"> </w:t>
      </w:r>
      <w:r w:rsidR="00AB5321" w:rsidRPr="00F8439C">
        <w:rPr>
          <w:color w:val="000000"/>
          <w:sz w:val="28"/>
          <w:szCs w:val="28"/>
        </w:rPr>
        <w:t>ментальных карт</w:t>
      </w:r>
      <w:r w:rsidR="00AB5321">
        <w:rPr>
          <w:color w:val="000000"/>
          <w:sz w:val="28"/>
          <w:szCs w:val="28"/>
        </w:rPr>
        <w:t>.</w:t>
      </w:r>
      <w:r w:rsidR="00AB5321" w:rsidRPr="00F8439C">
        <w:t xml:space="preserve"> </w:t>
      </w:r>
      <w:r w:rsidR="00AB5321" w:rsidRPr="00F8439C">
        <w:rPr>
          <w:sz w:val="28"/>
          <w:szCs w:val="28"/>
          <w:lang w:eastAsia="ru-RU"/>
        </w:rPr>
        <w:br w:type="page"/>
      </w:r>
    </w:p>
    <w:p w:rsidR="00AB5321" w:rsidRDefault="00AB5321" w:rsidP="00AB5321">
      <w:pPr>
        <w:suppressAutoHyphens w:val="0"/>
        <w:spacing w:after="200" w:line="276" w:lineRule="auto"/>
        <w:jc w:val="right"/>
        <w:rPr>
          <w:sz w:val="28"/>
          <w:szCs w:val="28"/>
          <w:lang w:eastAsia="ru-RU"/>
        </w:rPr>
      </w:pPr>
      <w:r w:rsidRPr="009C398B">
        <w:rPr>
          <w:sz w:val="28"/>
          <w:szCs w:val="28"/>
          <w:lang w:eastAsia="ru-RU"/>
        </w:rPr>
        <w:t>Приложение 1</w:t>
      </w:r>
    </w:p>
    <w:p w:rsidR="00AB5321" w:rsidRPr="00C2118B" w:rsidRDefault="00D852DE" w:rsidP="00AB5321">
      <w:pPr>
        <w:suppressAutoHyphens w:val="0"/>
        <w:spacing w:after="20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Как построить</w:t>
      </w:r>
      <w:r w:rsidR="00AB5321" w:rsidRPr="00C2118B">
        <w:rPr>
          <w:b/>
          <w:sz w:val="28"/>
          <w:szCs w:val="28"/>
          <w:lang w:eastAsia="ru-RU"/>
        </w:rPr>
        <w:t xml:space="preserve"> </w:t>
      </w:r>
      <w:r w:rsidR="00AB5321">
        <w:rPr>
          <w:b/>
          <w:sz w:val="28"/>
          <w:szCs w:val="28"/>
          <w:lang w:eastAsia="ru-RU"/>
        </w:rPr>
        <w:t>менталь</w:t>
      </w:r>
      <w:r>
        <w:rPr>
          <w:b/>
          <w:sz w:val="28"/>
          <w:szCs w:val="28"/>
          <w:lang w:eastAsia="ru-RU"/>
        </w:rPr>
        <w:t>ную карту?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1. Центральный образ (основную идею) располагаем в центре листа.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Центральный образ должен быть для вас самым ярким объектом, потому что он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будет являться вашим центром внимания, основной целью создания </w:t>
      </w:r>
      <w:r>
        <w:rPr>
          <w:sz w:val="28"/>
          <w:szCs w:val="28"/>
          <w:lang w:eastAsia="ru-RU"/>
        </w:rPr>
        <w:t>ментальной карты.</w:t>
      </w:r>
      <w:r w:rsidRPr="00C2118B">
        <w:rPr>
          <w:sz w:val="28"/>
          <w:szCs w:val="28"/>
          <w:lang w:eastAsia="ru-RU"/>
        </w:rPr>
        <w:t xml:space="preserve"> Для этого максимально четко ставьте задачу, используйте при создании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центрального образа наиболее «цепляющие», вдохновляющие вас в данный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момент цвета и рисунки.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Начинайте с главной мысли — и у вас появятся новые идеи, чем ее дополнить.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2. Основные темы, непосредственно связанные с объектом внимания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(ветви 1-го уровня), изображаем расходящимися от центрального образа в виде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плавных линий (ветвей), обозначаем и поясняем ключевыми словами или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образами, ассоциирующимися с ключевыми понятиями, раскрывающими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центральную идею.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Создавать и читать следует по часовой стрелке, начиная от правого верхнего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угла. Информация считывается по кругу, начиная с центра карты и продолжая с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правого верхнего угла и далее по часовой стрелке. Это правило принято для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чтения всех </w:t>
      </w:r>
      <w:r>
        <w:rPr>
          <w:sz w:val="28"/>
          <w:szCs w:val="28"/>
          <w:lang w:eastAsia="ru-RU"/>
        </w:rPr>
        <w:t>ментальных карт</w:t>
      </w:r>
      <w:r w:rsidRPr="00C2118B">
        <w:rPr>
          <w:sz w:val="28"/>
          <w:szCs w:val="28"/>
          <w:lang w:eastAsia="ru-RU"/>
        </w:rPr>
        <w:t>. Если вы задаете другую последовательность, вам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необходимо пронумеровать очередность чтения.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3. Вторичные идеи также изображаем в виде ветвей, отходящих от ветвей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более высокого порядка, то же справедливо и для третичных ветвей и т.д.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Связывайте мысли! Используйте не более чем </w:t>
      </w:r>
      <w:r>
        <w:rPr>
          <w:sz w:val="28"/>
          <w:szCs w:val="28"/>
          <w:lang w:eastAsia="ru-RU"/>
        </w:rPr>
        <w:t>6-9</w:t>
      </w:r>
      <w:r w:rsidRPr="00C2118B">
        <w:rPr>
          <w:sz w:val="28"/>
          <w:szCs w:val="28"/>
          <w:lang w:eastAsia="ru-RU"/>
        </w:rPr>
        <w:t xml:space="preserve"> ответвления от каждого объекта, а лучше 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не больше 5–7, так как такую карту сможет легко воспринимать даже уставший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человек.</w:t>
      </w:r>
    </w:p>
    <w:p w:rsidR="00AB5321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4. Делаем карту более эффективной и привлекательной с помощью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использования множества цветов.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В выбираемых нами цветах всегда больше смысла, чем может показаться. Цвет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мы воспринимаем мгновенно, а на восприятие текста нужно время. 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5. Добавляем рисунки, символы, и другую графику, ассоциирующиеся с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ключевыми словами.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Используйте ключевые слова! Их должно быть немного, чтобы они не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складывались в законченное предложение. Старайтесь все слова располагать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горизонтально. Придерживайтесь принципа: по одному ключевому слову на каждую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линию. Используйте печатные буквы. Размещайте ключевые слова над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соответствующими линиями. Информация, поданная в виде ключевых слов, связанных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наглядно друг с другом, заставляет мозг работать максимально быстро.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При необходимости можно соединить понятия на разных ветках с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помощью дополнительных стрелок.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Стрелки могут быть разных цветов, толщины, начертания. Все зависит от их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важности в данной карте. Не создавайте прямых линий!</w:t>
      </w:r>
    </w:p>
    <w:p w:rsidR="00AB5321" w:rsidRPr="00C2118B" w:rsidRDefault="00AB5321" w:rsidP="00AB5321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C2118B"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 Для большей понятности можно оформить фоновыми цветами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различные смысловые блоки, обозначить нумерацию.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 xml:space="preserve">Используйте группировку для обозначения </w:t>
      </w:r>
      <w:proofErr w:type="spellStart"/>
      <w:r w:rsidRPr="00C2118B">
        <w:rPr>
          <w:sz w:val="28"/>
          <w:szCs w:val="28"/>
          <w:lang w:eastAsia="ru-RU"/>
        </w:rPr>
        <w:t>односмысловых</w:t>
      </w:r>
      <w:proofErr w:type="spellEnd"/>
      <w:r w:rsidRPr="00C2118B">
        <w:rPr>
          <w:sz w:val="28"/>
          <w:szCs w:val="28"/>
          <w:lang w:eastAsia="ru-RU"/>
        </w:rPr>
        <w:t xml:space="preserve"> групп. Это могут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быть разноцветные фоны, просто контуры или что-то другое.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Если вы не используете правило чтения по кругу (по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часовой стрелке, начиная с правого верхнего угла), смысловые блоки следует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пронумеровать.</w:t>
      </w:r>
    </w:p>
    <w:p w:rsidR="00AB5321" w:rsidRDefault="00AB5321" w:rsidP="00AB5321">
      <w:pPr>
        <w:suppressAutoHyphens w:val="0"/>
        <w:spacing w:after="200"/>
        <w:ind w:firstLine="708"/>
        <w:rPr>
          <w:b/>
          <w:sz w:val="28"/>
          <w:szCs w:val="28"/>
          <w:lang w:eastAsia="ru-RU"/>
        </w:rPr>
        <w:sectPr w:rsidR="00AB5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118B">
        <w:rPr>
          <w:sz w:val="28"/>
          <w:szCs w:val="28"/>
          <w:lang w:eastAsia="ru-RU"/>
        </w:rPr>
        <w:t xml:space="preserve">Как правило, впоследствии для восприятия информации с </w:t>
      </w:r>
      <w:r>
        <w:rPr>
          <w:sz w:val="28"/>
          <w:szCs w:val="28"/>
          <w:lang w:eastAsia="ru-RU"/>
        </w:rPr>
        <w:t xml:space="preserve"> ментальной </w:t>
      </w:r>
      <w:r w:rsidRPr="00C2118B">
        <w:rPr>
          <w:sz w:val="28"/>
          <w:szCs w:val="28"/>
          <w:lang w:eastAsia="ru-RU"/>
        </w:rPr>
        <w:t>карты вам даже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не нужно будет читать, что там написано, — достаточно будет пробежаться по рисункам,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и у вас в голове тут же всплывет необходимая</w:t>
      </w:r>
      <w:r>
        <w:rPr>
          <w:sz w:val="28"/>
          <w:szCs w:val="28"/>
          <w:lang w:eastAsia="ru-RU"/>
        </w:rPr>
        <w:t xml:space="preserve"> </w:t>
      </w:r>
      <w:r w:rsidRPr="00C2118B">
        <w:rPr>
          <w:sz w:val="28"/>
          <w:szCs w:val="28"/>
          <w:lang w:eastAsia="ru-RU"/>
        </w:rPr>
        <w:t>информация</w:t>
      </w:r>
      <w:r>
        <w:rPr>
          <w:sz w:val="28"/>
          <w:szCs w:val="28"/>
          <w:lang w:eastAsia="ru-RU"/>
        </w:rPr>
        <w:t xml:space="preserve">. </w:t>
      </w:r>
      <w:r w:rsidRPr="00FF71C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</w:t>
      </w:r>
    </w:p>
    <w:p w:rsidR="00AB5321" w:rsidRDefault="00AB5321" w:rsidP="00AB5321">
      <w:pPr>
        <w:suppressAutoHyphens w:val="0"/>
        <w:spacing w:after="200"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Pr="009C398B">
        <w:rPr>
          <w:sz w:val="28"/>
          <w:szCs w:val="28"/>
          <w:lang w:eastAsia="ru-RU"/>
        </w:rPr>
        <w:t xml:space="preserve">иложение </w:t>
      </w:r>
      <w:r>
        <w:rPr>
          <w:sz w:val="28"/>
          <w:szCs w:val="28"/>
          <w:lang w:eastAsia="ru-RU"/>
        </w:rPr>
        <w:t>2</w:t>
      </w:r>
    </w:p>
    <w:p w:rsidR="00AB5321" w:rsidRPr="00FF71CD" w:rsidRDefault="00AB5321" w:rsidP="00AB5321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FF71CD">
        <w:rPr>
          <w:b/>
          <w:sz w:val="28"/>
          <w:szCs w:val="28"/>
          <w:lang w:eastAsia="ru-RU"/>
        </w:rPr>
        <w:t>Карточка оценивания ментальной карты «Витамины и здоровое питание»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9"/>
        <w:gridCol w:w="1393"/>
        <w:gridCol w:w="1362"/>
        <w:gridCol w:w="1443"/>
        <w:gridCol w:w="1418"/>
        <w:gridCol w:w="2353"/>
        <w:gridCol w:w="1866"/>
        <w:gridCol w:w="1679"/>
        <w:gridCol w:w="1701"/>
        <w:gridCol w:w="222"/>
      </w:tblGrid>
      <w:tr w:rsidR="00AB5321" w:rsidRPr="005D28CC" w:rsidTr="00F70125">
        <w:trPr>
          <w:trHeight w:val="847"/>
        </w:trPr>
        <w:tc>
          <w:tcPr>
            <w:tcW w:w="7080" w:type="dxa"/>
            <w:gridSpan w:val="5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Оформление ментальной карты</w:t>
            </w:r>
          </w:p>
        </w:tc>
        <w:tc>
          <w:tcPr>
            <w:tcW w:w="8131" w:type="dxa"/>
            <w:gridSpan w:val="5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Тематические сведения</w:t>
            </w:r>
            <w:r>
              <w:rPr>
                <w:sz w:val="22"/>
                <w:szCs w:val="28"/>
                <w:lang w:eastAsia="ru-RU"/>
              </w:rPr>
              <w:t xml:space="preserve"> о витаминах и здоровом питании</w:t>
            </w:r>
          </w:p>
        </w:tc>
      </w:tr>
      <w:tr w:rsidR="00AB5321" w:rsidRPr="005D28CC" w:rsidTr="00F70125"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Количество баллов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Общее количество элементов</w:t>
            </w:r>
            <w:r>
              <w:rPr>
                <w:sz w:val="22"/>
                <w:szCs w:val="28"/>
                <w:lang w:eastAsia="ru-RU"/>
              </w:rPr>
              <w:t xml:space="preserve"> на карте</w:t>
            </w:r>
          </w:p>
        </w:tc>
        <w:tc>
          <w:tcPr>
            <w:tcW w:w="1362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Количество цветов и пиктограмм</w:t>
            </w:r>
          </w:p>
        </w:tc>
        <w:tc>
          <w:tcPr>
            <w:tcW w:w="1443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Ветви</w:t>
            </w:r>
          </w:p>
        </w:tc>
        <w:tc>
          <w:tcPr>
            <w:tcW w:w="1418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Основной элемент</w:t>
            </w:r>
          </w:p>
        </w:tc>
        <w:tc>
          <w:tcPr>
            <w:tcW w:w="2353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Полнота изложения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 xml:space="preserve">Примеры </w:t>
            </w:r>
          </w:p>
        </w:tc>
        <w:tc>
          <w:tcPr>
            <w:tcW w:w="1679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 xml:space="preserve">Суточная норма витаминов </w:t>
            </w:r>
          </w:p>
        </w:tc>
        <w:tc>
          <w:tcPr>
            <w:tcW w:w="1701" w:type="dxa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Энергетическая ценность и </w:t>
            </w:r>
            <w:proofErr w:type="spellStart"/>
            <w:r>
              <w:rPr>
                <w:sz w:val="22"/>
                <w:szCs w:val="28"/>
                <w:lang w:eastAsia="ru-RU"/>
              </w:rPr>
              <w:t>энергозатраты</w:t>
            </w:r>
            <w:proofErr w:type="spellEnd"/>
            <w:r>
              <w:rPr>
                <w:sz w:val="22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jc w:val="right"/>
              <w:rPr>
                <w:sz w:val="22"/>
                <w:szCs w:val="28"/>
                <w:lang w:eastAsia="ru-RU"/>
              </w:rPr>
            </w:pPr>
          </w:p>
        </w:tc>
      </w:tr>
      <w:tr w:rsidR="00AB5321" w:rsidRPr="005D28CC" w:rsidTr="00F70125">
        <w:tc>
          <w:tcPr>
            <w:tcW w:w="0" w:type="auto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B5321" w:rsidRPr="00BA464F" w:rsidRDefault="00AB5321" w:rsidP="00F70125">
            <w:pPr>
              <w:suppressAutoHyphens w:val="0"/>
              <w:rPr>
                <w:sz w:val="22"/>
                <w:szCs w:val="28"/>
                <w:lang w:val="en-US" w:eastAsia="ru-RU"/>
              </w:rPr>
            </w:pPr>
            <w:r>
              <w:rPr>
                <w:sz w:val="22"/>
                <w:szCs w:val="28"/>
                <w:lang w:val="en-US" w:eastAsia="ru-RU"/>
              </w:rPr>
              <w:t>&gt;21</w:t>
            </w:r>
          </w:p>
        </w:tc>
        <w:tc>
          <w:tcPr>
            <w:tcW w:w="1362" w:type="dxa"/>
            <w:shd w:val="clear" w:color="auto" w:fill="D6E3BC" w:themeFill="accent3" w:themeFillTint="66"/>
          </w:tcPr>
          <w:p w:rsidR="00AB5321" w:rsidRDefault="00AB5321" w:rsidP="00F70125">
            <w:pPr>
              <w:suppressAutoHyphens w:val="0"/>
              <w:rPr>
                <w:sz w:val="22"/>
                <w:szCs w:val="28"/>
                <w:lang w:val="en-US"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14-20</w:t>
            </w:r>
          </w:p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443" w:type="dxa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Изогнуты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со стрелками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Расположен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в центре, имеет радиальные ветви</w:t>
            </w:r>
          </w:p>
        </w:tc>
        <w:tc>
          <w:tcPr>
            <w:tcW w:w="2353" w:type="dxa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Указаны все элементы здорового питания и перечислены &gt; 10 витаминов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B5321" w:rsidRPr="00BA464F" w:rsidRDefault="00AB5321" w:rsidP="00F70125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При</w:t>
            </w:r>
            <w:r w:rsidRPr="00BA464F">
              <w:rPr>
                <w:sz w:val="22"/>
                <w:szCs w:val="28"/>
                <w:lang w:eastAsia="ru-RU"/>
              </w:rPr>
              <w:t>ведены примеры продуктов с высоким содержанием</w:t>
            </w:r>
            <w:r>
              <w:rPr>
                <w:sz w:val="22"/>
                <w:szCs w:val="28"/>
                <w:lang w:eastAsia="ru-RU"/>
              </w:rPr>
              <w:t xml:space="preserve"> 5-10 витаминов + примеры «вредных» продуктов </w:t>
            </w:r>
          </w:p>
        </w:tc>
        <w:tc>
          <w:tcPr>
            <w:tcW w:w="1679" w:type="dxa"/>
            <w:shd w:val="clear" w:color="auto" w:fill="D6E3BC" w:themeFill="accent3" w:themeFillTint="66"/>
          </w:tcPr>
          <w:p w:rsidR="00AB5321" w:rsidRPr="00BA464F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Указана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верно для  </w:t>
            </w:r>
            <w:r>
              <w:rPr>
                <w:sz w:val="22"/>
                <w:szCs w:val="28"/>
                <w:lang w:val="en-US" w:eastAsia="ru-RU"/>
              </w:rPr>
              <w:t xml:space="preserve">&gt; 10 </w:t>
            </w:r>
            <w:r>
              <w:rPr>
                <w:sz w:val="22"/>
                <w:szCs w:val="28"/>
                <w:lang w:eastAsia="ru-RU"/>
              </w:rPr>
              <w:t>витаминов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Указаны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 верно в оригинальной форме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AB5321" w:rsidRPr="005D28CC" w:rsidTr="00F70125">
        <w:tc>
          <w:tcPr>
            <w:tcW w:w="0" w:type="auto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16-20</w:t>
            </w:r>
          </w:p>
        </w:tc>
        <w:tc>
          <w:tcPr>
            <w:tcW w:w="1362" w:type="dxa"/>
            <w:shd w:val="clear" w:color="auto" w:fill="B8CCE4" w:themeFill="accent1" w:themeFillTint="66"/>
          </w:tcPr>
          <w:p w:rsidR="00AB5321" w:rsidRPr="00BA464F" w:rsidRDefault="00AB5321" w:rsidP="00F70125">
            <w:pPr>
              <w:suppressAutoHyphens w:val="0"/>
              <w:rPr>
                <w:sz w:val="22"/>
                <w:szCs w:val="28"/>
                <w:lang w:val="en-US"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9-13</w:t>
            </w:r>
          </w:p>
        </w:tc>
        <w:tc>
          <w:tcPr>
            <w:tcW w:w="1443" w:type="dxa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Изогнуты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без стрелок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Расположен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по краю, имеет радиальные ветви</w:t>
            </w:r>
          </w:p>
        </w:tc>
        <w:tc>
          <w:tcPr>
            <w:tcW w:w="2353" w:type="dxa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Указаны основные элементы здорового питания и перечислены &gt; 5 витаминов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При</w:t>
            </w:r>
            <w:r w:rsidRPr="00BA464F">
              <w:rPr>
                <w:sz w:val="22"/>
                <w:szCs w:val="28"/>
                <w:lang w:eastAsia="ru-RU"/>
              </w:rPr>
              <w:t>ведены примеры продуктов с высоким содержанием</w:t>
            </w:r>
            <w:r>
              <w:rPr>
                <w:sz w:val="22"/>
                <w:szCs w:val="28"/>
                <w:lang w:eastAsia="ru-RU"/>
              </w:rPr>
              <w:t xml:space="preserve"> 3-4 витаминов  </w:t>
            </w:r>
          </w:p>
        </w:tc>
        <w:tc>
          <w:tcPr>
            <w:tcW w:w="1679" w:type="dxa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Указана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верно для  </w:t>
            </w:r>
            <w:r>
              <w:rPr>
                <w:sz w:val="22"/>
                <w:szCs w:val="28"/>
                <w:lang w:val="en-US" w:eastAsia="ru-RU"/>
              </w:rPr>
              <w:t xml:space="preserve">&gt; 5 </w:t>
            </w:r>
            <w:r>
              <w:rPr>
                <w:sz w:val="22"/>
                <w:szCs w:val="28"/>
                <w:lang w:eastAsia="ru-RU"/>
              </w:rPr>
              <w:t>витаминов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Указаны в виде перечисления или в таблице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AB5321" w:rsidRPr="005D28CC" w:rsidTr="00F70125">
        <w:tc>
          <w:tcPr>
            <w:tcW w:w="0" w:type="auto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10-15</w:t>
            </w:r>
          </w:p>
        </w:tc>
        <w:tc>
          <w:tcPr>
            <w:tcW w:w="1362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val="en-US" w:eastAsia="ru-RU"/>
              </w:rPr>
              <w:t>5</w:t>
            </w:r>
            <w:r w:rsidRPr="005D28CC">
              <w:rPr>
                <w:sz w:val="22"/>
                <w:szCs w:val="28"/>
                <w:lang w:eastAsia="ru-RU"/>
              </w:rPr>
              <w:t>-8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Прямые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Расположен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в центре, ветви хаотичны</w:t>
            </w:r>
          </w:p>
        </w:tc>
        <w:tc>
          <w:tcPr>
            <w:tcW w:w="2353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 xml:space="preserve">Не указаны элементы здорового питания и перечислены </w:t>
            </w:r>
            <w:r>
              <w:rPr>
                <w:sz w:val="22"/>
                <w:szCs w:val="28"/>
                <w:lang w:eastAsia="ru-RU"/>
              </w:rPr>
              <w:t>0</w:t>
            </w:r>
            <w:r w:rsidRPr="005D28CC">
              <w:rPr>
                <w:sz w:val="22"/>
                <w:szCs w:val="28"/>
                <w:lang w:eastAsia="ru-RU"/>
              </w:rPr>
              <w:t>&gt; 5 витаминов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Примеры «полезных» и «вредных» продуктов </w:t>
            </w:r>
          </w:p>
        </w:tc>
        <w:tc>
          <w:tcPr>
            <w:tcW w:w="1679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Указана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верно для  </w:t>
            </w:r>
            <w:r>
              <w:rPr>
                <w:sz w:val="22"/>
                <w:szCs w:val="28"/>
                <w:lang w:val="en-US" w:eastAsia="ru-RU"/>
              </w:rPr>
              <w:t xml:space="preserve">2-3 </w:t>
            </w:r>
            <w:r>
              <w:rPr>
                <w:sz w:val="22"/>
                <w:szCs w:val="28"/>
                <w:lang w:eastAsia="ru-RU"/>
              </w:rPr>
              <w:t>витаминов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Указаны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верно, но не полностью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AB5321" w:rsidRPr="005D28CC" w:rsidTr="00F70125">
        <w:tc>
          <w:tcPr>
            <w:tcW w:w="0" w:type="auto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5-10</w:t>
            </w:r>
          </w:p>
        </w:tc>
        <w:tc>
          <w:tcPr>
            <w:tcW w:w="1362" w:type="dxa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2-4</w:t>
            </w:r>
          </w:p>
        </w:tc>
        <w:tc>
          <w:tcPr>
            <w:tcW w:w="1443" w:type="dxa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Отсутствуют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 w:rsidRPr="005D28CC">
              <w:rPr>
                <w:sz w:val="22"/>
                <w:szCs w:val="28"/>
                <w:lang w:eastAsia="ru-RU"/>
              </w:rPr>
              <w:t>Расположен</w:t>
            </w:r>
            <w:proofErr w:type="gramEnd"/>
            <w:r w:rsidRPr="005D28CC">
              <w:rPr>
                <w:sz w:val="22"/>
                <w:szCs w:val="28"/>
                <w:lang w:eastAsia="ru-RU"/>
              </w:rPr>
              <w:t xml:space="preserve"> по краю, ветви хаотичны</w:t>
            </w:r>
          </w:p>
        </w:tc>
        <w:tc>
          <w:tcPr>
            <w:tcW w:w="2353" w:type="dxa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5D28CC">
              <w:rPr>
                <w:sz w:val="22"/>
                <w:szCs w:val="28"/>
                <w:lang w:eastAsia="ru-RU"/>
              </w:rPr>
              <w:t>Не указаны элементы здорового питания и не перечислены витамины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Примеры не приведены </w:t>
            </w:r>
          </w:p>
        </w:tc>
        <w:tc>
          <w:tcPr>
            <w:tcW w:w="1679" w:type="dxa"/>
            <w:shd w:val="clear" w:color="auto" w:fill="D99594" w:themeFill="accent2" w:themeFillTint="99"/>
          </w:tcPr>
          <w:p w:rsidR="00AB5321" w:rsidRPr="00BA464F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Указана неверно или не указана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  <w:proofErr w:type="gramStart"/>
            <w:r>
              <w:rPr>
                <w:sz w:val="22"/>
                <w:szCs w:val="28"/>
                <w:lang w:eastAsia="ru-RU"/>
              </w:rPr>
              <w:t>Указаны</w:t>
            </w:r>
            <w:proofErr w:type="gramEnd"/>
            <w:r>
              <w:rPr>
                <w:sz w:val="22"/>
                <w:szCs w:val="28"/>
                <w:lang w:eastAsia="ru-RU"/>
              </w:rPr>
              <w:t xml:space="preserve"> с ошибками или не указаны</w:t>
            </w:r>
          </w:p>
        </w:tc>
        <w:tc>
          <w:tcPr>
            <w:tcW w:w="0" w:type="auto"/>
          </w:tcPr>
          <w:p w:rsidR="00AB5321" w:rsidRPr="005D28CC" w:rsidRDefault="00AB5321" w:rsidP="00F70125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</w:tbl>
    <w:p w:rsidR="00AB5321" w:rsidRDefault="00AB5321" w:rsidP="00AB5321">
      <w:pPr>
        <w:suppressAutoHyphens w:val="0"/>
        <w:spacing w:after="200" w:line="276" w:lineRule="auto"/>
        <w:jc w:val="right"/>
        <w:rPr>
          <w:sz w:val="28"/>
          <w:szCs w:val="28"/>
          <w:lang w:eastAsia="ru-RU"/>
        </w:rPr>
      </w:pP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 выставления оценки:</w:t>
      </w: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«5»выставляется  за 19-24 баллов;</w:t>
      </w:r>
      <w:bookmarkStart w:id="0" w:name="_GoBack"/>
      <w:bookmarkEnd w:id="0"/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«4»выставляется  за 13-18 баллов;</w:t>
      </w: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«3»выставляется  за 7-12 баллов;</w:t>
      </w: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«2»выставляется  за 0-6 баллов;</w:t>
      </w: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AB5321" w:rsidRDefault="00AB5321" w:rsidP="00AB5321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0812C7" w:rsidRPr="00AB5321" w:rsidRDefault="000812C7" w:rsidP="00AB5321"/>
    <w:sectPr w:rsidR="000812C7" w:rsidRPr="00AB5321" w:rsidSect="00AB53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358C"/>
    <w:multiLevelType w:val="hybridMultilevel"/>
    <w:tmpl w:val="064E2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14CA4"/>
    <w:multiLevelType w:val="hybridMultilevel"/>
    <w:tmpl w:val="FBF6A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DE5F9F"/>
    <w:multiLevelType w:val="hybridMultilevel"/>
    <w:tmpl w:val="3E8E5E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21"/>
    <w:rsid w:val="000812C7"/>
    <w:rsid w:val="00AB5321"/>
    <w:rsid w:val="00D852DE"/>
    <w:rsid w:val="00E80881"/>
    <w:rsid w:val="00E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532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</w:rPr>
  </w:style>
  <w:style w:type="character" w:styleId="a3">
    <w:name w:val="Hyperlink"/>
    <w:rsid w:val="00AB5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321"/>
    <w:pPr>
      <w:ind w:left="720"/>
      <w:contextualSpacing/>
    </w:pPr>
  </w:style>
  <w:style w:type="table" w:styleId="a5">
    <w:name w:val="Table Grid"/>
    <w:basedOn w:val="a1"/>
    <w:uiPriority w:val="59"/>
    <w:rsid w:val="00AB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5321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</w:rPr>
  </w:style>
  <w:style w:type="character" w:styleId="a3">
    <w:name w:val="Hyperlink"/>
    <w:rsid w:val="00AB5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321"/>
    <w:pPr>
      <w:ind w:left="720"/>
      <w:contextualSpacing/>
    </w:pPr>
  </w:style>
  <w:style w:type="table" w:styleId="a5">
    <w:name w:val="Table Grid"/>
    <w:basedOn w:val="a1"/>
    <w:uiPriority w:val="59"/>
    <w:rsid w:val="00AB5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time.com.ua/index.php?option=com_content&amp;view=article&amp;id=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dcterms:created xsi:type="dcterms:W3CDTF">2019-10-02T09:49:00Z</dcterms:created>
  <dcterms:modified xsi:type="dcterms:W3CDTF">2020-01-10T08:55:00Z</dcterms:modified>
</cp:coreProperties>
</file>